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67B2" w14:textId="77777777" w:rsidR="005925E6" w:rsidRPr="005925E6" w:rsidRDefault="005925E6" w:rsidP="005925E6">
      <w:pPr>
        <w:rPr>
          <w:b/>
          <w:bCs/>
        </w:rPr>
      </w:pPr>
      <w:r w:rsidRPr="005925E6">
        <w:rPr>
          <w:b/>
          <w:bCs/>
          <w:color w:val="EE0000"/>
        </w:rPr>
        <w:t xml:space="preserve">Musterschriftsatz – </w:t>
      </w:r>
      <w:r w:rsidRPr="005925E6">
        <w:rPr>
          <w:b/>
          <w:bCs/>
        </w:rPr>
        <w:t>Stellungnahme zur Ausbildungsumlage</w:t>
      </w:r>
    </w:p>
    <w:p w14:paraId="0BBDEE5C" w14:textId="77777777" w:rsidR="005925E6" w:rsidRPr="005925E6" w:rsidRDefault="005925E6" w:rsidP="005925E6">
      <w:r w:rsidRPr="005925E6">
        <w:rPr>
          <w:i/>
          <w:iCs/>
        </w:rPr>
        <w:t>(für ambulante Pflegeeinrichtungen)</w:t>
      </w:r>
    </w:p>
    <w:p w14:paraId="106DF8F8" w14:textId="77777777" w:rsidR="005925E6" w:rsidRPr="005925E6" w:rsidRDefault="005925E6" w:rsidP="005925E6">
      <w:r w:rsidRPr="005925E6">
        <w:rPr>
          <w:b/>
          <w:bCs/>
        </w:rPr>
        <w:t>An das Verwaltungsgericht</w:t>
      </w:r>
      <w:r w:rsidRPr="005925E6">
        <w:br/>
      </w:r>
      <w:r w:rsidRPr="005925E6">
        <w:rPr>
          <w:b/>
          <w:bCs/>
        </w:rPr>
        <w:t>Az.: ____________________</w:t>
      </w:r>
    </w:p>
    <w:p w14:paraId="65F508C0" w14:textId="77777777" w:rsidR="005925E6" w:rsidRPr="005925E6" w:rsidRDefault="005925E6" w:rsidP="005925E6">
      <w:r w:rsidRPr="005925E6">
        <w:t>Sehr geehrte Damen und Herren,</w:t>
      </w:r>
    </w:p>
    <w:p w14:paraId="045D929C" w14:textId="77777777" w:rsidR="005925E6" w:rsidRPr="005925E6" w:rsidRDefault="005925E6" w:rsidP="005925E6">
      <w:r w:rsidRPr="005925E6">
        <w:t>die Klägerseite nimmt die Klageerwiderung der Beklagten zum Anlass, ihren Standpunkt zusammenfassend darzustellen und dabei insbesondere die Perspektive der Pflegepraxis und der betroffenen Branche zu verdeutlichen, die aus Sicht der Klägerseite in der bisherigen Argumentation der Beklagten nicht hinreichend berücksichtigt wird.</w:t>
      </w:r>
    </w:p>
    <w:p w14:paraId="14CE0A85" w14:textId="77777777" w:rsidR="005925E6" w:rsidRPr="005925E6" w:rsidRDefault="005925E6" w:rsidP="005925E6">
      <w:r w:rsidRPr="005925E6">
        <w:t xml:space="preserve">Zunächst stellt die Klägerseite ausdrücklich klar, dass sich ihr Begehren </w:t>
      </w:r>
      <w:r w:rsidRPr="005925E6">
        <w:rPr>
          <w:b/>
          <w:bCs/>
        </w:rPr>
        <w:t>nicht gegen die Ausbildungsumlage als solche</w:t>
      </w:r>
      <w:r w:rsidRPr="005925E6">
        <w:t xml:space="preserve"> richtet. Die Finanzierung der Pflegeausbildung ist notwendig, sinnvoll und gesellschaftlich geboten. Dieses Ziel wird ausdrücklich anerkannt. Gegenstand des Verfahrens ist allein die </w:t>
      </w:r>
      <w:r w:rsidRPr="005925E6">
        <w:rPr>
          <w:b/>
          <w:bCs/>
        </w:rPr>
        <w:t>konkrete Ausgestaltung und Vollzugspraxis</w:t>
      </w:r>
      <w:r w:rsidRPr="005925E6">
        <w:t xml:space="preserve"> der Umlage, die nach Auffassung der Klägerseite die gesetzgeberischen Ziele nicht erreicht und in der praktischen Wirkung teilweise ins Gegenteil verkehrt.</w:t>
      </w:r>
    </w:p>
    <w:p w14:paraId="3F764B5C" w14:textId="77777777" w:rsidR="005925E6" w:rsidRPr="005925E6" w:rsidRDefault="005925E6" w:rsidP="005925E6">
      <w:r w:rsidRPr="005925E6">
        <w:t xml:space="preserve">Die Beklagte beruft sich maßgeblich auf ein angeblich überwiegendes öffentliches Interesse an der sofortigen Durchsetzung der Umlage. Diese Betrachtung greift jedoch zu kurz. Das öffentliche Interesse erschöpft sich nicht in der kurzfristigen Sicherstellung von Umlagezahlungen, sondern besteht vor allem in der </w:t>
      </w:r>
      <w:r w:rsidRPr="005925E6">
        <w:rPr>
          <w:b/>
          <w:bCs/>
        </w:rPr>
        <w:t>dauerhaften Sicherung leistungsfähiger Pflegeeinrichtungen</w:t>
      </w:r>
      <w:r w:rsidRPr="005925E6">
        <w:t>, die in der Lage sind, Pflege zu erbringen, Personal zu halten und Ausbildung überhaupt zu ermöglichen. Ein Vollzug, der Pflegebetriebe strukturell in Liquiditätsprobleme zwingt, Investitionen verhindert, Leistungen einschränkt oder Betriebe wirtschaftlich destabilisiert, kann nicht im öffentlichen Interesse liegen.</w:t>
      </w:r>
    </w:p>
    <w:p w14:paraId="3835E75B" w14:textId="77777777" w:rsidR="005925E6" w:rsidRPr="005925E6" w:rsidRDefault="005925E6" w:rsidP="005925E6">
      <w:r w:rsidRPr="005925E6">
        <w:t xml:space="preserve">Ein solcher Vollzug überschreitet vielmehr die Grenze des verfassungsrechtlich Zulässigen, da er das aus dem Rechtsstaatsprinzip folgende </w:t>
      </w:r>
      <w:r w:rsidRPr="005925E6">
        <w:rPr>
          <w:b/>
          <w:bCs/>
        </w:rPr>
        <w:t>Übermaßverbot</w:t>
      </w:r>
      <w:r w:rsidRPr="005925E6">
        <w:t xml:space="preserve"> verletzt und den </w:t>
      </w:r>
      <w:r w:rsidRPr="005925E6">
        <w:rPr>
          <w:b/>
          <w:bCs/>
        </w:rPr>
        <w:t>Grundsatz der Verhältnismäßigkeit</w:t>
      </w:r>
      <w:r w:rsidRPr="005925E6">
        <w:t xml:space="preserve"> verfehlt. Die durch die Umlage ausgelösten Liquiditätsengpässe führen regelmäßig dazu, dass Pflegeeinrichtungen auf kontokorrentgebundene Finanzierungen zurückgreifen müssen. Die damit verbundenen Zinsbelastungen verursachen zusätzliche, fortlaufende Kosten und verstärken den Liquiditätsabfluss weiter. Staatliche Regelungen dürfen jedoch nicht dazu führen, dass die wirtschaftliche Existenz der von ihnen betroffenen Betriebe gefährdet wird, wenn mildere, gleichermaßen geeignete Mittel zur Zielerreichung zur Verfügung stehen.</w:t>
      </w:r>
    </w:p>
    <w:p w14:paraId="06F96D39" w14:textId="77777777" w:rsidR="005925E6" w:rsidRPr="005925E6" w:rsidRDefault="005925E6" w:rsidP="005925E6">
      <w:r w:rsidRPr="005925E6">
        <w:t xml:space="preserve">Die Pflegebranche befindet sich derzeit in einer wirtschaftlich hochsensiblen Situation. Steigende Personalkosten, Fachkräftemangel, hohe Sach- und Energiekosten sowie eingeschränkte Finanzierungsmöglichkeiten führen dazu, dass Liquidität und Planungssicherheit zu zentralen Stabilitätsfaktoren geworden sind. Eine Umlage, die dauerhaft nicht liquiditätsneutral vollzogen wird, entfaltet unter diesen Bedingungen eine überproportionale Belastungswirkung. Die Folgen sind konkret: Investitionen werden verschoben oder unterlassen, Leistungsangebote eingeschränkt, Ausbildungsbeteiligung reduziert, im Extremfall drohen wirtschaftliche Schieflagen bis hin zur Aufgabe von Betrieben. Damit wird das Ziel des </w:t>
      </w:r>
      <w:proofErr w:type="spellStart"/>
      <w:r w:rsidRPr="005925E6">
        <w:t>Pflegeberufegesetzes</w:t>
      </w:r>
      <w:proofErr w:type="spellEnd"/>
      <w:r w:rsidRPr="005925E6">
        <w:t xml:space="preserve"> – die Stärkung der Pflege und der Ausbildung – konterkariert.</w:t>
      </w:r>
    </w:p>
    <w:p w14:paraId="29DFCB0C" w14:textId="77777777" w:rsidR="005925E6" w:rsidRPr="005925E6" w:rsidRDefault="005925E6" w:rsidP="005925E6">
      <w:r w:rsidRPr="005925E6">
        <w:t xml:space="preserve">Die dauerhafte Sicherung leistungsfähiger Pflegeeinrichtungen ist zugleich </w:t>
      </w:r>
      <w:r w:rsidRPr="005925E6">
        <w:rPr>
          <w:b/>
          <w:bCs/>
        </w:rPr>
        <w:t>unmittelbare Voraussetzung für Ausbildung selbst</w:t>
      </w:r>
      <w:r w:rsidRPr="005925E6">
        <w:t xml:space="preserve">. Pflegeausbildung findet im laufenden Betrieb statt und setzt voraus, dass Einrichtungen qualifizierte Praxisanleiter vorhalten, diese regelmäßig fortbilden und ihnen die erforderlichen zeitlichen Ressourcen zur Verfügung stellen. Praxisanleitung ist damit auch eine betriebswirtschaftliche Leistung, die mit erheblichen Personal- und Freistellungskosten </w:t>
      </w:r>
      <w:r w:rsidRPr="005925E6">
        <w:lastRenderedPageBreak/>
        <w:t>verbunden ist. Fehlt es infolge struktureller Liquiditätsbelastungen an finanzieller Stabilität, können diese Voraussetzungen nicht mehr erfüllt werden; Ausbildung wird eingeschränkt oder faktisch eingestellt. Eine Umlagepraxis, die Pflegebetriebe wirtschaftlich schwächt, gefährdet damit unmittelbar die Pflegeausbildung selbst.</w:t>
      </w:r>
    </w:p>
    <w:p w14:paraId="097D4CB3" w14:textId="77777777" w:rsidR="005925E6" w:rsidRPr="005925E6" w:rsidRDefault="005925E6" w:rsidP="005925E6">
      <w:r w:rsidRPr="005925E6">
        <w:t xml:space="preserve">Hinzu kommt, dass die Beklagte zwar wiederholt auf die formale Gesetzeskonformität der Umlage verweist, eine </w:t>
      </w:r>
      <w:r w:rsidRPr="005925E6">
        <w:rPr>
          <w:b/>
          <w:bCs/>
        </w:rPr>
        <w:t>transparente Offenlegung der zugrunde liegenden Berechnungs- und Schätzgrundlagen</w:t>
      </w:r>
      <w:r w:rsidRPr="005925E6">
        <w:t xml:space="preserve"> jedoch weiterhin ausbleibt. Es ist nicht nachvollziehbar dargelegt, auf welcher Datenbasis die Umlagehöhen ermittelt werden, welche Annahmen zur Leistungsentwicklung und wirtschaftlichen Belastbarkeit getroffen wurden und ob regionale Markt- und Versorgungsstrukturen oder individuelle betriebliche Gegebenheiten berücksichtigt werden. Die Umlagefestsetzung erfolgt ersichtlich pauschal, obwohl die Pflegebranche durch eine erhebliche Heterogenität der Betriebe geprägt ist.</w:t>
      </w:r>
    </w:p>
    <w:p w14:paraId="26F4317E" w14:textId="77777777" w:rsidR="005925E6" w:rsidRPr="005925E6" w:rsidRDefault="005925E6" w:rsidP="005925E6">
      <w:r w:rsidRPr="005925E6">
        <w:t xml:space="preserve">Die Klägerseite weist zudem darauf hin, dass es sich bei den dargestellten Problemen </w:t>
      </w:r>
      <w:r w:rsidRPr="005925E6">
        <w:rPr>
          <w:b/>
          <w:bCs/>
        </w:rPr>
        <w:t>nicht um Einzelfälle</w:t>
      </w:r>
      <w:r w:rsidRPr="005925E6">
        <w:t xml:space="preserve"> handelt. Bundesweit sind zahlreiche Pflegeeinrichtungen betroffen. Mehrere parallel anhängige Gerichtsverfahren belegen, dass es sich um ein strukturelles Problem der aktuellen Umlagepraxis handelt. Der Umgang mit Rückzahlungen aus früheren Umlagezeiträumen verstärkt diese Problematik zusätzlich und führt zu einem dauerhaften Liquiditätsentzug.</w:t>
      </w:r>
    </w:p>
    <w:p w14:paraId="011B66AD" w14:textId="77777777" w:rsidR="005925E6" w:rsidRPr="005925E6" w:rsidRDefault="005925E6" w:rsidP="005925E6">
      <w:r w:rsidRPr="005925E6">
        <w:t xml:space="preserve">Besonders widersprüchlich erscheint die aktuelle Argumentation der Beklagten vor dem Hintergrund ihrer </w:t>
      </w:r>
      <w:r w:rsidRPr="005925E6">
        <w:rPr>
          <w:b/>
          <w:bCs/>
        </w:rPr>
        <w:t>eigenen früheren Auslegung</w:t>
      </w:r>
      <w:r w:rsidRPr="005925E6">
        <w:t xml:space="preserve"> des </w:t>
      </w:r>
      <w:proofErr w:type="spellStart"/>
      <w:r w:rsidRPr="005925E6">
        <w:t>Pflegeberufegesetzes</w:t>
      </w:r>
      <w:proofErr w:type="spellEnd"/>
      <w:r w:rsidRPr="005925E6">
        <w:t xml:space="preserve">. In einer an andere Pflegeeinrichtungen gerichteten E-Mail hat die zuständige Fachabteilung des Landesamtes ausdrücklich ausgeführt, dass der Gesetzgeber beabsichtigt, dass Pflegeeinrichtungen bei ordnungsgemäßer Refinanzierung </w:t>
      </w:r>
      <w:r w:rsidRPr="005925E6">
        <w:rPr>
          <w:b/>
          <w:bCs/>
        </w:rPr>
        <w:t>weder einen Gewinn noch einen Verlust</w:t>
      </w:r>
      <w:r w:rsidRPr="005925E6">
        <w:t xml:space="preserve"> erwirtschaften sollen. Diese behördliche Auslegung steht im Widerspruch zu der nunmehr vertretenen Auffassung, wonach dauerhafte Liquiditätsbelastungen, Vorfinanzierungen und Zinslasten hinzunehmen seien. Zinsbelastungen und struktureller Liquiditätsentzug stellen jedoch wirtschaftliche Schäden dar.</w:t>
      </w:r>
    </w:p>
    <w:p w14:paraId="133E9B4B" w14:textId="77777777" w:rsidR="005925E6" w:rsidRPr="005925E6" w:rsidRDefault="005925E6" w:rsidP="005925E6">
      <w:r w:rsidRPr="005925E6">
        <w:t xml:space="preserve">Unabhängig von der spezialgesetzlichen Ausgestaltung des </w:t>
      </w:r>
      <w:proofErr w:type="spellStart"/>
      <w:r w:rsidRPr="005925E6">
        <w:t>Pflegeberufegesetzes</w:t>
      </w:r>
      <w:proofErr w:type="spellEnd"/>
      <w:r w:rsidRPr="005925E6">
        <w:t xml:space="preserve"> unterliegt staatliches Handeln übergeordneten rechtsstaatlichen Grenzen. Dazu zählen insbesondere der Grundsatz der Verhältnismäßigkeit, das Übermaßverbot, der Schutz der Berufsausübungsfreiheit, der Eigentumsschutz, der Gleichheitsgrundsatz sowie der Grundsatz von Vertrauensschutz und Planungssicherheit. Auch ein legitimes gesetzgeberisches Ziel rechtfertigt keine Maßnahmen, die Pflegeeinrichtungen in ihrer wirtschaftlichen Existenz gefährden.</w:t>
      </w:r>
    </w:p>
    <w:p w14:paraId="63D858AC" w14:textId="77777777" w:rsidR="005925E6" w:rsidRPr="005925E6" w:rsidRDefault="005925E6" w:rsidP="005925E6">
      <w:r w:rsidRPr="005925E6">
        <w:t xml:space="preserve">Die Klägerseite hat von Beginn an </w:t>
      </w:r>
      <w:r w:rsidRPr="005925E6">
        <w:rPr>
          <w:b/>
          <w:bCs/>
        </w:rPr>
        <w:t>konstruktive und praktikable Lösungsansätze</w:t>
      </w:r>
      <w:r w:rsidRPr="005925E6">
        <w:t xml:space="preserve"> unterbreitet, die sowohl die Finanzierung der Ausbildung als auch die wirtschaftliche Stabilität der Pflegebetriebe sicherstellen könnten. Diese wurden bislang nicht aufgegriffen.</w:t>
      </w:r>
    </w:p>
    <w:p w14:paraId="7DCEAE50" w14:textId="77777777" w:rsidR="005925E6" w:rsidRPr="005925E6" w:rsidRDefault="005925E6" w:rsidP="005925E6">
      <w:r w:rsidRPr="005925E6">
        <w:t xml:space="preserve">Zusammenfassend bittet die Klägerseite darum, bei der Entscheidung nicht allein die formale Gesetzeslage, sondern die </w:t>
      </w:r>
      <w:r w:rsidRPr="005925E6">
        <w:rPr>
          <w:b/>
          <w:bCs/>
        </w:rPr>
        <w:t>realen, systemischen und verfassungsrechtlich relevanten Auswirkungen</w:t>
      </w:r>
      <w:r w:rsidRPr="005925E6">
        <w:t xml:space="preserve"> der Umlagepraxis zu berücksichtigen. Das öffentliche Interesse liegt nicht in der kurzfristigen Durchsetzung von Umlageforderungen, sondern in der Sicherung einer stabilen, leistungsfähigen Pflege- und Ausbildungslandschaft.</w:t>
      </w:r>
    </w:p>
    <w:p w14:paraId="7D0223E7" w14:textId="77777777" w:rsidR="005925E6" w:rsidRPr="005925E6" w:rsidRDefault="005925E6" w:rsidP="005925E6">
      <w:r w:rsidRPr="005925E6">
        <w:t>Mit freundlichen Grüßen</w:t>
      </w:r>
    </w:p>
    <w:p w14:paraId="49EED05F" w14:textId="77777777" w:rsidR="007105D6" w:rsidRDefault="007105D6"/>
    <w:sectPr w:rsidR="007105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E6"/>
    <w:rsid w:val="00295759"/>
    <w:rsid w:val="003663DF"/>
    <w:rsid w:val="005925E6"/>
    <w:rsid w:val="007105D6"/>
    <w:rsid w:val="00AA4808"/>
    <w:rsid w:val="00D53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3998"/>
  <w15:chartTrackingRefBased/>
  <w15:docId w15:val="{FCBF2B2F-4CC7-4237-9D8C-C26E96FA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2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92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925E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925E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925E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925E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25E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25E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25E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5E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925E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925E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925E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925E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925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25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25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25E6"/>
    <w:rPr>
      <w:rFonts w:eastAsiaTheme="majorEastAsia" w:cstheme="majorBidi"/>
      <w:color w:val="272727" w:themeColor="text1" w:themeTint="D8"/>
    </w:rPr>
  </w:style>
  <w:style w:type="paragraph" w:styleId="Titel">
    <w:name w:val="Title"/>
    <w:basedOn w:val="Standard"/>
    <w:next w:val="Standard"/>
    <w:link w:val="TitelZchn"/>
    <w:uiPriority w:val="10"/>
    <w:qFormat/>
    <w:rsid w:val="00592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25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25E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25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25E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25E6"/>
    <w:rPr>
      <w:i/>
      <w:iCs/>
      <w:color w:val="404040" w:themeColor="text1" w:themeTint="BF"/>
    </w:rPr>
  </w:style>
  <w:style w:type="paragraph" w:styleId="Listenabsatz">
    <w:name w:val="List Paragraph"/>
    <w:basedOn w:val="Standard"/>
    <w:uiPriority w:val="34"/>
    <w:qFormat/>
    <w:rsid w:val="005925E6"/>
    <w:pPr>
      <w:ind w:left="720"/>
      <w:contextualSpacing/>
    </w:pPr>
  </w:style>
  <w:style w:type="character" w:styleId="IntensiveHervorhebung">
    <w:name w:val="Intense Emphasis"/>
    <w:basedOn w:val="Absatz-Standardschriftart"/>
    <w:uiPriority w:val="21"/>
    <w:qFormat/>
    <w:rsid w:val="005925E6"/>
    <w:rPr>
      <w:i/>
      <w:iCs/>
      <w:color w:val="2F5496" w:themeColor="accent1" w:themeShade="BF"/>
    </w:rPr>
  </w:style>
  <w:style w:type="paragraph" w:styleId="IntensivesZitat">
    <w:name w:val="Intense Quote"/>
    <w:basedOn w:val="Standard"/>
    <w:next w:val="Standard"/>
    <w:link w:val="IntensivesZitatZchn"/>
    <w:uiPriority w:val="30"/>
    <w:qFormat/>
    <w:rsid w:val="00592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925E6"/>
    <w:rPr>
      <w:i/>
      <w:iCs/>
      <w:color w:val="2F5496" w:themeColor="accent1" w:themeShade="BF"/>
    </w:rPr>
  </w:style>
  <w:style w:type="character" w:styleId="IntensiverVerweis">
    <w:name w:val="Intense Reference"/>
    <w:basedOn w:val="Absatz-Standardschriftart"/>
    <w:uiPriority w:val="32"/>
    <w:qFormat/>
    <w:rsid w:val="005925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6118</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Sebatian Arlt</dc:creator>
  <cp:keywords/>
  <dc:description/>
  <cp:lastModifiedBy>Sebatian Arlt</cp:lastModifiedBy>
  <cp:revision>1</cp:revision>
  <dcterms:created xsi:type="dcterms:W3CDTF">2026-02-03T12:50:00Z</dcterms:created>
  <dcterms:modified xsi:type="dcterms:W3CDTF">2026-02-03T12:52:00Z</dcterms:modified>
</cp:coreProperties>
</file>